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hint="default" w:ascii="仿宋_GB2312" w:hAnsi="仿宋_GB2312" w:eastAsia="仿宋_GB2312" w:cs="仿宋_GB2312"/>
          <w:kern w:val="0"/>
          <w:sz w:val="36"/>
          <w:szCs w:val="36"/>
          <w:lang w:val="en-US"/>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CN"/>
        </w:rPr>
        <w:t>非法采矿案鉴定费</w:t>
      </w:r>
      <w:r>
        <w:rPr>
          <w:rFonts w:hint="eastAsia" w:ascii="仿宋_GB2312" w:hAnsi="仿宋_GB2312" w:eastAsia="仿宋_GB2312" w:cs="仿宋_GB2312"/>
          <w:kern w:val="0"/>
          <w:sz w:val="36"/>
          <w:szCs w:val="36"/>
          <w:lang w:val="en-US" w:eastAsia="zh-CN"/>
        </w:rPr>
        <w:t>项目</w:t>
      </w:r>
    </w:p>
    <w:p>
      <w:pPr>
        <w:pStyle w:val="48"/>
        <w:tabs>
          <w:tab w:val="center" w:pos="4153"/>
        </w:tabs>
        <w:spacing w:line="700" w:lineRule="exact"/>
        <w:ind w:firstLine="720" w:firstLineChars="200"/>
        <w:jc w:val="left"/>
        <w:rPr>
          <w:rFonts w:hint="eastAsia" w:eastAsia="仿宋_GB2312"/>
          <w:kern w:val="0"/>
          <w:sz w:val="36"/>
          <w:szCs w:val="36"/>
          <w:lang w:val="en-US" w:eastAsia="zh-CN"/>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ab/>
        <w:t>塔什库尔干县公安局</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塔什库尔干县人民政府</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宝力代</w:t>
      </w:r>
      <w:bookmarkStart w:id="0" w:name="_GoBack"/>
      <w:bookmarkEnd w:id="0"/>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30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hint="eastAsia" w:ascii="黑体" w:hAnsi="黑体" w:eastAsia="黑体"/>
          <w:b w:val="0"/>
          <w:spacing w:val="-4"/>
          <w:sz w:val="32"/>
          <w:szCs w:val="32"/>
        </w:rPr>
      </w:pPr>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9"/>
          <w:rFonts w:hint="eastAsia"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县公安局基本情况，包括：县公安局主要职能和机构设置情况、年末编制情况、实有人数情况等。</w:t>
      </w:r>
    </w:p>
    <w:p>
      <w:pPr>
        <w:adjustRightInd w:val="0"/>
        <w:snapToGrid w:val="0"/>
        <w:spacing w:line="560" w:lineRule="exact"/>
        <w:ind w:firstLine="624" w:firstLineChars="200"/>
        <w:rPr>
          <w:rStyle w:val="19"/>
          <w:rFonts w:hint="eastAsia"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1、主要职能</w:t>
      </w:r>
    </w:p>
    <w:p>
      <w:pPr>
        <w:adjustRightInd w:val="0"/>
        <w:snapToGrid w:val="0"/>
        <w:spacing w:line="560" w:lineRule="exact"/>
        <w:ind w:firstLine="624" w:firstLineChars="200"/>
        <w:rPr>
          <w:rStyle w:val="19"/>
          <w:rFonts w:hint="eastAsia"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塔什库尔干塔吉克自治县公安局是主管全县公安工作的政府工作部门，是不同于一般行政机关的具有武装性质的国家治安行政管理和刑事执法部门。主要有以下职责：预防、制止和侦查违法犯罪活动;防范、打击恐怖活动;维护社会治安秩序，制止危害社会治安秩序的行为;管理交通、消防、危险物品;管理户口、居民身份证、国籍、出入境事务和外国人在中国境内居留、旅行的有关事务;维护国(边)境地区的治安秩序;警卫国家规定的特定人员、守卫重要场所和设施;管理集会、游行和示威活动;监督管理公共信息网络安全监察工作;负责承担被判处拘役、有期徒刑、缓刑、管制、剥夺政治权利和被假释犯的监督考察任务；法律、法规规定的其他职责。</w:t>
      </w:r>
    </w:p>
    <w:p>
      <w:pPr>
        <w:adjustRightInd w:val="0"/>
        <w:snapToGrid w:val="0"/>
        <w:spacing w:line="560" w:lineRule="exact"/>
        <w:ind w:firstLine="624" w:firstLineChars="200"/>
        <w:rPr>
          <w:rStyle w:val="19"/>
          <w:rFonts w:hint="eastAsia"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2、机构情况及人员情况</w:t>
      </w:r>
    </w:p>
    <w:p>
      <w:pPr>
        <w:adjustRightInd w:val="0"/>
        <w:snapToGrid w:val="0"/>
        <w:spacing w:line="560" w:lineRule="exact"/>
        <w:ind w:firstLine="624" w:firstLineChars="200"/>
        <w:rPr>
          <w:rStyle w:val="19"/>
          <w:rFonts w:hint="eastAsia"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塔什库尔干塔吉克自治县公安局为正科级单位，具体机构设置：内设综合管理机构3个，执法勤务机构11个，派出机构5个，监管场所2个。</w:t>
      </w:r>
    </w:p>
    <w:p>
      <w:pPr>
        <w:adjustRightInd w:val="0"/>
        <w:snapToGrid w:val="0"/>
        <w:spacing w:line="560" w:lineRule="exact"/>
        <w:ind w:firstLine="624" w:firstLineChars="200"/>
        <w:rPr>
          <w:rStyle w:val="19"/>
          <w:rFonts w:hint="eastAsia"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总编制数112名，其中行政编制85名，工勤编制2名，事业编制25名。2018年实有在职人数行政编制96人，事业编制22人。</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项目的预期目标：对“山盛鑫源矿业涉嫌非法采矿案、祥和矿业涉嫌非法采矿案、沪新矿业涉嫌非法采矿案”非法开采形成的露天采坑进行现场调查和测量，采用全仪器法对采坑进行实地测量，对露天采坑周围进行地形、地质测量，查明非法开采铁矿形成的采坑位置、大小，对三起非法采矿案当事人开采的矿体进行样品采集及分析测试，并收集塔什库尔干县公安局刑警大队对该事件有关人员的询问笔录及铁矿石销售发票等，在此基础上，进行室内资料整理，编制三起非法采矿案造成矿产资源破坏价值鉴定报告。非法采矿案违法行为得到有效遏制，实现矿产资源开发管理秩序良好。</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本项目性质为</w:t>
      </w:r>
      <w:r>
        <w:rPr>
          <w:rFonts w:hint="eastAsia" w:ascii="仿宋" w:hAnsi="仿宋" w:eastAsia="仿宋"/>
          <w:bCs/>
          <w:color w:val="000000" w:themeColor="text1"/>
          <w:spacing w:val="-4"/>
          <w:sz w:val="32"/>
          <w:szCs w:val="32"/>
          <w:lang w:val="en-US" w:eastAsia="zh-CN"/>
        </w:rPr>
        <w:t>新增项目</w:t>
      </w:r>
      <w:r>
        <w:rPr>
          <w:rFonts w:hint="eastAsia" w:ascii="仿宋" w:hAnsi="仿宋" w:eastAsia="仿宋"/>
          <w:bCs/>
          <w:color w:val="000000" w:themeColor="text1"/>
          <w:spacing w:val="-4"/>
          <w:sz w:val="32"/>
          <w:szCs w:val="32"/>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outlineLvl w:val="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对“山盛鑫源矿业涉嫌非法采矿案、祥和矿业涉嫌非法采矿案、沪新矿业涉嫌非法采矿案”进行实地测量评估，出具非法开采铁矿造成资源破坏价值鉴定报告。评估矿产资源破坏的价值，为司法认定提供地质依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lang w:val="en-US" w:eastAsia="zh-CN"/>
        </w:rPr>
        <w:t>非法采矿案鉴定费</w:t>
      </w:r>
      <w:r>
        <w:rPr>
          <w:rFonts w:hint="eastAsia" w:ascii="仿宋" w:hAnsi="仿宋" w:eastAsia="仿宋"/>
          <w:bCs/>
          <w:color w:val="000000" w:themeColor="text1"/>
          <w:spacing w:val="-4"/>
          <w:sz w:val="32"/>
          <w:szCs w:val="32"/>
        </w:rPr>
        <w:t>项目预算安排总额为</w:t>
      </w:r>
      <w:r>
        <w:rPr>
          <w:rFonts w:hint="eastAsia" w:ascii="仿宋" w:hAnsi="仿宋" w:eastAsia="仿宋"/>
          <w:bCs/>
          <w:color w:val="000000" w:themeColor="text1"/>
          <w:spacing w:val="-4"/>
          <w:sz w:val="32"/>
          <w:szCs w:val="32"/>
          <w:lang w:val="en-US" w:eastAsia="zh-CN"/>
        </w:rPr>
        <w:t>45</w:t>
      </w:r>
      <w:r>
        <w:rPr>
          <w:rFonts w:hint="eastAsia" w:ascii="仿宋" w:hAnsi="仿宋" w:eastAsia="仿宋"/>
          <w:bCs/>
          <w:color w:val="000000" w:themeColor="text1"/>
          <w:spacing w:val="-4"/>
          <w:sz w:val="32"/>
          <w:szCs w:val="32"/>
        </w:rPr>
        <w:t>万元，其中财政资金</w:t>
      </w:r>
      <w:r>
        <w:rPr>
          <w:rFonts w:hint="eastAsia" w:ascii="仿宋" w:hAnsi="仿宋" w:eastAsia="仿宋"/>
          <w:bCs/>
          <w:color w:val="000000" w:themeColor="text1"/>
          <w:spacing w:val="-4"/>
          <w:sz w:val="32"/>
          <w:szCs w:val="32"/>
          <w:lang w:val="en-US" w:eastAsia="zh-CN"/>
        </w:rPr>
        <w:t>45</w:t>
      </w:r>
      <w:r>
        <w:rPr>
          <w:rFonts w:hint="eastAsia" w:ascii="仿宋" w:hAnsi="仿宋" w:eastAsia="仿宋"/>
          <w:bCs/>
          <w:color w:val="000000" w:themeColor="text1"/>
          <w:spacing w:val="-4"/>
          <w:sz w:val="32"/>
          <w:szCs w:val="32"/>
        </w:rPr>
        <w:t>万元，2018年实际收到预算资金</w:t>
      </w:r>
      <w:r>
        <w:rPr>
          <w:rFonts w:hint="eastAsia" w:ascii="仿宋" w:hAnsi="仿宋" w:eastAsia="仿宋"/>
          <w:bCs/>
          <w:color w:val="000000" w:themeColor="text1"/>
          <w:spacing w:val="-4"/>
          <w:sz w:val="32"/>
          <w:szCs w:val="32"/>
          <w:lang w:val="en-US" w:eastAsia="zh-CN"/>
        </w:rPr>
        <w:t>45</w:t>
      </w:r>
      <w:r>
        <w:rPr>
          <w:rFonts w:hint="eastAsia" w:ascii="仿宋" w:hAnsi="仿宋" w:eastAsia="仿宋"/>
          <w:bCs/>
          <w:color w:val="000000" w:themeColor="text1"/>
          <w:spacing w:val="-4"/>
          <w:sz w:val="32"/>
          <w:szCs w:val="32"/>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本项目实际支付资金</w:t>
      </w:r>
      <w:r>
        <w:rPr>
          <w:rFonts w:hint="eastAsia" w:ascii="仿宋" w:hAnsi="仿宋" w:eastAsia="仿宋"/>
          <w:bCs/>
          <w:color w:val="000000" w:themeColor="text1"/>
          <w:spacing w:val="-4"/>
          <w:sz w:val="32"/>
          <w:szCs w:val="32"/>
          <w:lang w:val="en-US" w:eastAsia="zh-CN"/>
        </w:rPr>
        <w:t>30</w:t>
      </w:r>
      <w:r>
        <w:rPr>
          <w:rFonts w:hint="eastAsia" w:ascii="仿宋" w:hAnsi="仿宋" w:eastAsia="仿宋"/>
          <w:bCs/>
          <w:color w:val="000000" w:themeColor="text1"/>
          <w:spacing w:val="-4"/>
          <w:sz w:val="32"/>
          <w:szCs w:val="32"/>
        </w:rPr>
        <w:t>万元，预算执行率</w:t>
      </w:r>
      <w:r>
        <w:rPr>
          <w:rFonts w:hint="eastAsia" w:ascii="仿宋" w:hAnsi="仿宋" w:eastAsia="仿宋"/>
          <w:bCs/>
          <w:color w:val="000000" w:themeColor="text1"/>
          <w:spacing w:val="-4"/>
          <w:sz w:val="32"/>
          <w:szCs w:val="32"/>
          <w:lang w:val="en-US" w:eastAsia="zh-CN"/>
        </w:rPr>
        <w:t>66.67</w:t>
      </w:r>
      <w:r>
        <w:rPr>
          <w:rFonts w:ascii="仿宋" w:hAnsi="仿宋" w:eastAsia="仿宋"/>
          <w:bCs/>
          <w:color w:val="000000" w:themeColor="text1"/>
          <w:spacing w:val="-4"/>
          <w:sz w:val="32"/>
          <w:szCs w:val="32"/>
        </w:rPr>
        <w:t>%</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lang w:val="en-US" w:eastAsia="zh-CN"/>
        </w:rPr>
        <w:t>结转</w:t>
      </w:r>
      <w:r>
        <w:rPr>
          <w:rFonts w:hint="eastAsia" w:ascii="仿宋" w:hAnsi="仿宋" w:eastAsia="仿宋"/>
          <w:bCs/>
          <w:color w:val="000000" w:themeColor="text1"/>
          <w:spacing w:val="-4"/>
          <w:sz w:val="32"/>
          <w:szCs w:val="32"/>
        </w:rPr>
        <w:t>资金额度</w:t>
      </w:r>
      <w:r>
        <w:rPr>
          <w:rFonts w:hint="eastAsia" w:ascii="仿宋" w:hAnsi="仿宋" w:eastAsia="仿宋"/>
          <w:bCs/>
          <w:color w:val="000000" w:themeColor="text1"/>
          <w:spacing w:val="-4"/>
          <w:sz w:val="32"/>
          <w:szCs w:val="32"/>
          <w:lang w:val="en-US" w:eastAsia="zh-CN"/>
        </w:rPr>
        <w:t>15万元</w:t>
      </w:r>
      <w:r>
        <w:rPr>
          <w:rFonts w:hint="eastAsia" w:ascii="仿宋" w:hAnsi="仿宋" w:eastAsia="仿宋"/>
          <w:bCs/>
          <w:color w:val="000000" w:themeColor="text1"/>
          <w:spacing w:val="-4"/>
          <w:sz w:val="32"/>
          <w:szCs w:val="32"/>
        </w:rPr>
        <w:t>。项目资金主要用于支付</w:t>
      </w:r>
      <w:r>
        <w:rPr>
          <w:rFonts w:hint="eastAsia" w:ascii="仿宋" w:hAnsi="仿宋" w:eastAsia="仿宋"/>
          <w:bCs/>
          <w:color w:val="000000" w:themeColor="text1"/>
          <w:spacing w:val="-4"/>
          <w:sz w:val="32"/>
          <w:szCs w:val="32"/>
          <w:lang w:val="en-US" w:eastAsia="zh-CN"/>
        </w:rPr>
        <w:t>三起</w:t>
      </w:r>
      <w:r>
        <w:rPr>
          <w:rFonts w:hint="eastAsia" w:ascii="仿宋" w:hAnsi="仿宋" w:eastAsia="仿宋"/>
          <w:bCs/>
          <w:color w:val="000000" w:themeColor="text1"/>
          <w:spacing w:val="-4"/>
          <w:sz w:val="32"/>
          <w:szCs w:val="32"/>
        </w:rPr>
        <w:t>非法采矿案鉴定费用30万元。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本项目支出符合</w:t>
      </w:r>
      <w:r>
        <w:rPr>
          <w:rFonts w:hint="eastAsia" w:ascii="仿宋" w:hAnsi="仿宋" w:eastAsia="仿宋"/>
          <w:bCs/>
          <w:color w:val="000000" w:themeColor="text1"/>
          <w:spacing w:val="-4"/>
          <w:sz w:val="32"/>
          <w:szCs w:val="32"/>
          <w:lang w:val="en-US" w:eastAsia="zh-CN"/>
        </w:rPr>
        <w:t>公安机关财务管理规定</w:t>
      </w:r>
      <w:r>
        <w:rPr>
          <w:rFonts w:hint="eastAsia" w:ascii="仿宋" w:hAnsi="仿宋" w:eastAsia="仿宋"/>
          <w:bCs/>
          <w:color w:val="000000" w:themeColor="text1"/>
          <w:spacing w:val="-4"/>
          <w:sz w:val="32"/>
          <w:szCs w:val="32"/>
        </w:rPr>
        <w:t>，包括会计人员集中核算工作管理制度、财务收支审批制度、财务稽核制度、财务牵制制度、会计主管岗位职责等制度规定，资金的拨付有完整的审批程序和手续，不存在截留、挤占、挪用等情况。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该项目属于</w:t>
      </w:r>
      <w:r>
        <w:rPr>
          <w:rStyle w:val="19"/>
          <w:rFonts w:hint="eastAsia" w:ascii="仿宋" w:hAnsi="仿宋" w:eastAsia="仿宋"/>
          <w:b w:val="0"/>
          <w:color w:val="000000" w:themeColor="text1"/>
          <w:spacing w:val="-4"/>
          <w:sz w:val="32"/>
          <w:szCs w:val="32"/>
          <w:lang w:val="en-US" w:eastAsia="zh-CN"/>
        </w:rPr>
        <w:t>招投标项目</w:t>
      </w:r>
      <w:r>
        <w:rPr>
          <w:rStyle w:val="19"/>
          <w:rFonts w:hint="eastAsia" w:ascii="仿宋" w:hAnsi="仿宋" w:eastAsia="仿宋"/>
          <w:b w:val="0"/>
          <w:color w:val="000000" w:themeColor="text1"/>
          <w:spacing w:val="-4"/>
          <w:sz w:val="32"/>
          <w:szCs w:val="32"/>
        </w:rPr>
        <w:t>,</w:t>
      </w:r>
      <w:r>
        <w:rPr>
          <w:rStyle w:val="19"/>
          <w:rFonts w:hint="eastAsia" w:ascii="仿宋" w:hAnsi="仿宋" w:eastAsia="仿宋"/>
          <w:b w:val="0"/>
          <w:color w:val="000000" w:themeColor="text1"/>
          <w:spacing w:val="-4"/>
          <w:sz w:val="32"/>
          <w:szCs w:val="32"/>
          <w:lang w:val="en-US" w:eastAsia="zh-CN"/>
        </w:rPr>
        <w:t>由县政府采购办实施招标</w:t>
      </w:r>
      <w:r>
        <w:rPr>
          <w:rStyle w:val="19"/>
          <w:rFonts w:hint="eastAsia" w:ascii="仿宋" w:hAnsi="仿宋" w:eastAsia="仿宋"/>
          <w:b w:val="0"/>
          <w:color w:val="000000" w:themeColor="text1"/>
          <w:spacing w:val="-4"/>
          <w:sz w:val="32"/>
          <w:szCs w:val="32"/>
        </w:rPr>
        <w:t>。实施过程均按照</w:t>
      </w:r>
      <w:r>
        <w:rPr>
          <w:rStyle w:val="19"/>
          <w:rFonts w:hint="eastAsia" w:ascii="仿宋" w:hAnsi="仿宋" w:eastAsia="仿宋"/>
          <w:b w:val="0"/>
          <w:color w:val="000000" w:themeColor="text1"/>
          <w:spacing w:val="-4"/>
          <w:sz w:val="32"/>
          <w:szCs w:val="32"/>
          <w:lang w:val="en-US" w:eastAsia="zh-CN"/>
        </w:rPr>
        <w:t>招投标管理办法</w:t>
      </w:r>
      <w:r>
        <w:rPr>
          <w:rStyle w:val="19"/>
          <w:rFonts w:hint="eastAsia" w:ascii="仿宋" w:hAnsi="仿宋" w:eastAsia="仿宋"/>
          <w:b w:val="0"/>
          <w:color w:val="000000" w:themeColor="text1"/>
          <w:spacing w:val="-4"/>
          <w:sz w:val="32"/>
          <w:szCs w:val="32"/>
        </w:rPr>
        <w:t>执行。</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本项目不存在调整情况。</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为保证项目质量和成本控制，项目实施完成后，由本项目相关人员于</w:t>
      </w:r>
      <w:r>
        <w:rPr>
          <w:rStyle w:val="19"/>
          <w:rFonts w:hint="eastAsia" w:ascii="仿宋" w:hAnsi="仿宋" w:eastAsia="仿宋"/>
          <w:b w:val="0"/>
          <w:color w:val="000000" w:themeColor="text1"/>
          <w:spacing w:val="-4"/>
          <w:sz w:val="32"/>
          <w:szCs w:val="32"/>
          <w:lang w:val="en-US" w:eastAsia="zh-CN"/>
        </w:rPr>
        <w:t>2018</w:t>
      </w:r>
      <w:r>
        <w:rPr>
          <w:rStyle w:val="19"/>
          <w:rFonts w:hint="eastAsia" w:ascii="仿宋" w:hAnsi="仿宋" w:eastAsia="仿宋"/>
          <w:b w:val="0"/>
          <w:color w:val="000000" w:themeColor="text1"/>
          <w:spacing w:val="-4"/>
          <w:sz w:val="32"/>
          <w:szCs w:val="32"/>
        </w:rPr>
        <w:t>年</w:t>
      </w:r>
      <w:r>
        <w:rPr>
          <w:rStyle w:val="19"/>
          <w:rFonts w:hint="eastAsia" w:ascii="仿宋" w:hAnsi="仿宋" w:eastAsia="仿宋"/>
          <w:b w:val="0"/>
          <w:color w:val="000000" w:themeColor="text1"/>
          <w:spacing w:val="-4"/>
          <w:sz w:val="32"/>
          <w:szCs w:val="32"/>
          <w:lang w:val="en-US" w:eastAsia="zh-CN"/>
        </w:rPr>
        <w:t>12</w:t>
      </w:r>
      <w:r>
        <w:rPr>
          <w:rStyle w:val="19"/>
          <w:rFonts w:hint="eastAsia" w:ascii="仿宋" w:hAnsi="仿宋" w:eastAsia="仿宋"/>
          <w:b w:val="0"/>
          <w:color w:val="000000" w:themeColor="text1"/>
          <w:spacing w:val="-4"/>
          <w:sz w:val="32"/>
          <w:szCs w:val="32"/>
        </w:rPr>
        <w:t>月</w:t>
      </w:r>
      <w:r>
        <w:rPr>
          <w:rStyle w:val="19"/>
          <w:rFonts w:hint="eastAsia" w:ascii="仿宋" w:hAnsi="仿宋" w:eastAsia="仿宋"/>
          <w:b w:val="0"/>
          <w:color w:val="000000" w:themeColor="text1"/>
          <w:spacing w:val="-4"/>
          <w:sz w:val="32"/>
          <w:szCs w:val="32"/>
          <w:lang w:val="en-US" w:eastAsia="zh-CN"/>
        </w:rPr>
        <w:t>10</w:t>
      </w:r>
      <w:r>
        <w:rPr>
          <w:rStyle w:val="19"/>
          <w:rFonts w:hint="eastAsia" w:ascii="仿宋" w:hAnsi="仿宋" w:eastAsia="仿宋"/>
          <w:b w:val="0"/>
          <w:color w:val="000000" w:themeColor="text1"/>
          <w:spacing w:val="-4"/>
          <w:sz w:val="32"/>
          <w:szCs w:val="32"/>
        </w:rPr>
        <w:t>日完成检查验收，检查验收合格后按合同规定支付款项。</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hint="eastAsia" w:ascii="仿宋" w:hAnsi="仿宋" w:eastAsia="仿宋"/>
          <w:b w:val="0"/>
          <w:color w:val="000000" w:themeColor="text1"/>
          <w:spacing w:val="-4"/>
          <w:sz w:val="32"/>
          <w:szCs w:val="32"/>
        </w:rPr>
      </w:pPr>
      <w:r>
        <w:rPr>
          <w:rStyle w:val="19"/>
          <w:rFonts w:hint="eastAsia" w:ascii="仿宋" w:hAnsi="仿宋" w:eastAsia="仿宋"/>
          <w:b w:val="0"/>
          <w:color w:val="000000" w:themeColor="text1"/>
          <w:spacing w:val="-4"/>
          <w:sz w:val="32"/>
          <w:szCs w:val="32"/>
        </w:rPr>
        <w:t>项目的实施</w:t>
      </w:r>
      <w:r>
        <w:rPr>
          <w:rStyle w:val="19"/>
          <w:rFonts w:hint="eastAsia" w:ascii="仿宋" w:hAnsi="仿宋" w:eastAsia="仿宋"/>
          <w:b w:val="0"/>
          <w:color w:val="000000" w:themeColor="text1"/>
          <w:spacing w:val="-4"/>
          <w:sz w:val="32"/>
          <w:szCs w:val="32"/>
          <w:lang w:val="en-US" w:eastAsia="zh-CN"/>
        </w:rPr>
        <w:t>过程中，</w:t>
      </w:r>
      <w:r>
        <w:rPr>
          <w:rStyle w:val="19"/>
          <w:rFonts w:hint="eastAsia" w:ascii="仿宋" w:hAnsi="仿宋" w:eastAsia="仿宋"/>
          <w:b w:val="0"/>
          <w:color w:val="000000" w:themeColor="text1"/>
          <w:spacing w:val="-4"/>
          <w:sz w:val="32"/>
          <w:szCs w:val="32"/>
        </w:rPr>
        <w:t>遵守相关法律法规和业务管理规定，项目资料齐全并及时归档。同时对项目进度情况进行督导检查，对检查过程中发现的问题及时督促整改，确保了项目按时保质完成。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12</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11</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97.22</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19"/>
          <w:rFonts w:hint="eastAsia" w:ascii="仿宋" w:hAnsi="仿宋" w:eastAsia="仿宋"/>
          <w:b w:val="0"/>
          <w:color w:val="auto"/>
          <w:spacing w:val="-4"/>
          <w:sz w:val="32"/>
          <w:szCs w:val="32"/>
        </w:rPr>
      </w:pPr>
      <w:r>
        <w:rPr>
          <w:rStyle w:val="19"/>
          <w:rFonts w:hint="eastAsia" w:ascii="仿宋" w:hAnsi="仿宋" w:eastAsia="仿宋"/>
          <w:b w:val="0"/>
          <w:color w:val="auto"/>
          <w:spacing w:val="-4"/>
          <w:sz w:val="32"/>
          <w:szCs w:val="32"/>
        </w:rPr>
        <w:t>经济性：项目预算45万元，项目实际中标价45万元，本年支出30万元，支出在控制范围内</w:t>
      </w:r>
      <w:r>
        <w:rPr>
          <w:rStyle w:val="19"/>
          <w:rFonts w:hint="eastAsia" w:ascii="仿宋" w:hAnsi="仿宋" w:eastAsia="仿宋"/>
          <w:b w:val="0"/>
          <w:color w:val="auto"/>
          <w:spacing w:val="-4"/>
          <w:sz w:val="32"/>
          <w:szCs w:val="32"/>
          <w:lang w:eastAsia="zh-CN"/>
        </w:rPr>
        <w:t>，</w:t>
      </w:r>
      <w:r>
        <w:rPr>
          <w:rStyle w:val="19"/>
          <w:rFonts w:hint="eastAsia" w:ascii="仿宋" w:hAnsi="仿宋" w:eastAsia="仿宋"/>
          <w:b w:val="0"/>
          <w:color w:val="auto"/>
          <w:spacing w:val="-4"/>
          <w:sz w:val="32"/>
          <w:szCs w:val="32"/>
          <w:lang w:val="en-US" w:eastAsia="zh-CN"/>
        </w:rPr>
        <w:t>因鉴定报告未出具，留用15万元支付该费用</w:t>
      </w:r>
      <w:r>
        <w:rPr>
          <w:rStyle w:val="19"/>
          <w:rFonts w:hint="eastAsia" w:ascii="仿宋" w:hAnsi="仿宋" w:eastAsia="仿宋"/>
          <w:b w:val="0"/>
          <w:color w:val="auto"/>
          <w:spacing w:val="-4"/>
          <w:sz w:val="32"/>
          <w:szCs w:val="32"/>
        </w:rPr>
        <w:t>。</w:t>
      </w:r>
    </w:p>
    <w:p>
      <w:pPr>
        <w:adjustRightInd w:val="0"/>
        <w:snapToGrid w:val="0"/>
        <w:spacing w:line="560" w:lineRule="exact"/>
        <w:ind w:firstLine="624" w:firstLineChars="200"/>
        <w:rPr>
          <w:rStyle w:val="19"/>
          <w:rFonts w:hint="eastAsia" w:ascii="仿宋" w:hAnsi="仿宋" w:eastAsia="仿宋"/>
          <w:b w:val="0"/>
          <w:color w:val="auto"/>
          <w:spacing w:val="-4"/>
          <w:sz w:val="32"/>
          <w:szCs w:val="32"/>
        </w:rPr>
      </w:pPr>
      <w:r>
        <w:rPr>
          <w:rStyle w:val="19"/>
          <w:rFonts w:hint="eastAsia" w:ascii="仿宋" w:hAnsi="仿宋" w:eastAsia="仿宋"/>
          <w:b w:val="0"/>
          <w:color w:val="auto"/>
          <w:spacing w:val="-4"/>
          <w:sz w:val="32"/>
          <w:szCs w:val="32"/>
        </w:rPr>
        <w:t>效率性：该项目2018年未完成，非法采矿案鉴定报告未出具，款项</w:t>
      </w:r>
      <w:r>
        <w:rPr>
          <w:rStyle w:val="19"/>
          <w:rFonts w:hint="eastAsia" w:ascii="仿宋" w:hAnsi="仿宋" w:eastAsia="仿宋"/>
          <w:b w:val="0"/>
          <w:color w:val="auto"/>
          <w:spacing w:val="-4"/>
          <w:sz w:val="32"/>
          <w:szCs w:val="32"/>
          <w:lang w:val="en-US" w:eastAsia="zh-CN"/>
        </w:rPr>
        <w:t>实际</w:t>
      </w:r>
      <w:r>
        <w:rPr>
          <w:rStyle w:val="19"/>
          <w:rFonts w:hint="eastAsia" w:ascii="仿宋" w:hAnsi="仿宋" w:eastAsia="仿宋"/>
          <w:b w:val="0"/>
          <w:color w:val="auto"/>
          <w:spacing w:val="-4"/>
          <w:sz w:val="32"/>
          <w:szCs w:val="32"/>
        </w:rPr>
        <w:t>支付完成66.67%。</w:t>
      </w:r>
    </w:p>
    <w:p>
      <w:pPr>
        <w:adjustRightInd w:val="0"/>
        <w:snapToGrid w:val="0"/>
        <w:spacing w:line="560" w:lineRule="exact"/>
        <w:ind w:firstLine="624" w:firstLineChars="200"/>
        <w:rPr>
          <w:rStyle w:val="19"/>
          <w:rFonts w:hint="eastAsia" w:ascii="仿宋" w:hAnsi="仿宋" w:eastAsia="仿宋"/>
          <w:b w:val="0"/>
          <w:bCs/>
          <w:color w:val="auto"/>
          <w:spacing w:val="-4"/>
          <w:sz w:val="32"/>
          <w:szCs w:val="32"/>
        </w:rPr>
      </w:pPr>
      <w:r>
        <w:rPr>
          <w:rStyle w:val="19"/>
          <w:rFonts w:hint="eastAsia" w:ascii="仿宋" w:hAnsi="仿宋" w:eastAsia="仿宋"/>
          <w:b w:val="0"/>
          <w:color w:val="auto"/>
          <w:spacing w:val="-4"/>
          <w:sz w:val="32"/>
          <w:szCs w:val="32"/>
        </w:rPr>
        <w:t>效益性：该项目的实施有效遏制了非法采矿违法行为，对违法行为进行了严厉打击，维护矿产资源国家权益，保护了自然生态保护区，为生态文明建设提供服务和支撑。</w:t>
      </w:r>
    </w:p>
    <w:p>
      <w:pPr>
        <w:numPr>
          <w:ilvl w:val="0"/>
          <w:numId w:val="1"/>
        </w:numPr>
        <w:adjustRightInd w:val="0"/>
        <w:snapToGrid w:val="0"/>
        <w:spacing w:line="560" w:lineRule="exact"/>
        <w:ind w:firstLine="627" w:firstLineChars="200"/>
        <w:outlineLvl w:val="0"/>
        <w:rPr>
          <w:rFonts w:hint="eastAsia" w:ascii="楷体" w:hAnsi="楷体" w:eastAsia="楷体"/>
          <w:b/>
          <w:spacing w:val="-4"/>
          <w:sz w:val="32"/>
          <w:szCs w:val="32"/>
        </w:rPr>
      </w:pPr>
      <w:r>
        <w:rPr>
          <w:rFonts w:hint="eastAsia" w:ascii="楷体" w:hAnsi="楷体" w:eastAsia="楷体"/>
          <w:b/>
          <w:spacing w:val="-4"/>
          <w:sz w:val="32"/>
          <w:szCs w:val="32"/>
        </w:rPr>
        <w:t>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因新疆地矿局第九地质大队还未出具三起非法采矿案鉴定报告，项目未完成验收工作，</w:t>
      </w:r>
      <w:r>
        <w:rPr>
          <w:rFonts w:hint="eastAsia" w:ascii="仿宋" w:hAnsi="仿宋" w:eastAsia="仿宋"/>
          <w:color w:val="auto"/>
          <w:spacing w:val="-4"/>
          <w:sz w:val="32"/>
          <w:szCs w:val="32"/>
          <w:lang w:val="en-US" w:eastAsia="zh-CN"/>
        </w:rPr>
        <w:t>款项支付完成66.67%。</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rPr>
      </w:pPr>
      <w:r>
        <w:rPr>
          <w:rFonts w:hint="eastAsia" w:ascii="仿宋" w:hAnsi="仿宋" w:eastAsia="仿宋"/>
          <w:bCs/>
          <w:color w:val="auto"/>
          <w:spacing w:val="-4"/>
          <w:sz w:val="32"/>
          <w:szCs w:val="32"/>
          <w:lang w:val="en-US" w:eastAsia="zh-CN"/>
        </w:rPr>
        <w:t>下年度待</w:t>
      </w:r>
      <w:r>
        <w:rPr>
          <w:rFonts w:hint="eastAsia" w:ascii="仿宋" w:hAnsi="仿宋" w:eastAsia="仿宋"/>
          <w:bCs/>
          <w:color w:val="auto"/>
          <w:spacing w:val="-4"/>
          <w:sz w:val="32"/>
          <w:szCs w:val="32"/>
        </w:rPr>
        <w:t>非法采矿案鉴定报告出具后，完成项目验收及剩余资金拨付。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936" w:firstLineChars="3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val="en-US" w:eastAsia="zh-CN"/>
        </w:rPr>
        <w:t>非法采矿案鉴定费</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val="en-US" w:eastAsia="zh-CN"/>
        </w:rPr>
        <w:t>非法采矿案鉴定费</w:t>
      </w:r>
      <w:r>
        <w:rPr>
          <w:rFonts w:hint="eastAsia" w:ascii="仿宋" w:hAnsi="仿宋" w:eastAsia="仿宋"/>
          <w:color w:val="auto"/>
          <w:spacing w:val="-4"/>
          <w:sz w:val="32"/>
          <w:szCs w:val="32"/>
        </w:rPr>
        <w:t>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rPr>
          <w:rStyle w:val="19"/>
          <w:rFonts w:hint="eastAsia" w:ascii="仿宋" w:hAnsi="仿宋" w:eastAsia="仿宋"/>
          <w:color w:val="FF0000"/>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668FD3"/>
    <w:multiLevelType w:val="singleLevel"/>
    <w:tmpl w:val="A5668FD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F1A98"/>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4BFB"/>
    <w:rsid w:val="00A26421"/>
    <w:rsid w:val="00A4293B"/>
    <w:rsid w:val="00A83BD5"/>
    <w:rsid w:val="00A977DF"/>
    <w:rsid w:val="00AE6A23"/>
    <w:rsid w:val="00B06CA5"/>
    <w:rsid w:val="00B13FCF"/>
    <w:rsid w:val="00B41F61"/>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AB56CE2"/>
    <w:rsid w:val="0E911047"/>
    <w:rsid w:val="0EB107EC"/>
    <w:rsid w:val="21454B50"/>
    <w:rsid w:val="275833BE"/>
    <w:rsid w:val="29BF3CCA"/>
    <w:rsid w:val="386E7D7D"/>
    <w:rsid w:val="397F4FE8"/>
    <w:rsid w:val="3AC6218D"/>
    <w:rsid w:val="3AE12CA9"/>
    <w:rsid w:val="3DA90D55"/>
    <w:rsid w:val="4EFD6A38"/>
    <w:rsid w:val="50D123F1"/>
    <w:rsid w:val="5A7F0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8"/>
    <w:uiPriority w:val="0"/>
    <w:rPr>
      <w:rFonts w:hint="default" w:ascii="Times New Roman" w:hAnsi="Times New Roman" w:cs="Times New Roman"/>
      <w:color w:val="000000"/>
      <w:sz w:val="24"/>
      <w:szCs w:val="24"/>
      <w:u w:val="none"/>
    </w:rPr>
  </w:style>
  <w:style w:type="character" w:customStyle="1" w:styleId="50">
    <w:name w:val="font01"/>
    <w:basedOn w:val="18"/>
    <w:uiPriority w:val="0"/>
    <w:rPr>
      <w:rFonts w:hint="eastAsia" w:ascii="宋体" w:hAnsi="宋体" w:eastAsia="宋体" w:cs="宋体"/>
      <w:color w:val="000000"/>
      <w:sz w:val="24"/>
      <w:szCs w:val="24"/>
      <w:u w:val="none"/>
    </w:rPr>
  </w:style>
  <w:style w:type="character" w:customStyle="1" w:styleId="51">
    <w:name w:val="font11"/>
    <w:basedOn w:val="18"/>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0</TotalTime>
  <ScaleCrop>false</ScaleCrop>
  <LinksUpToDate>false</LinksUpToDate>
  <CharactersWithSpaces>1916</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2019-09-18T16:42:49Z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